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2026-LRA-II-22-25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Teilinstandsetzung von 4 Bauwerken 2026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